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0C5A" w:rsidRPr="006D7069" w:rsidRDefault="001A0C5A" w:rsidP="00A55A44">
      <w:pPr>
        <w:pStyle w:val="1"/>
        <w:spacing w:before="0" w:after="0" w:line="300" w:lineRule="auto"/>
        <w:jc w:val="center"/>
        <w:rPr>
          <w:sz w:val="30"/>
          <w:szCs w:val="30"/>
        </w:rPr>
      </w:pPr>
      <w:bookmarkStart w:id="0" w:name="_Toc252287404"/>
      <w:r w:rsidRPr="006D7069">
        <w:rPr>
          <w:rFonts w:hint="eastAsia"/>
          <w:sz w:val="30"/>
          <w:szCs w:val="30"/>
        </w:rPr>
        <w:t>第</w:t>
      </w:r>
      <w:r>
        <w:rPr>
          <w:rFonts w:hint="eastAsia"/>
          <w:sz w:val="30"/>
          <w:szCs w:val="30"/>
        </w:rPr>
        <w:t>十</w:t>
      </w:r>
      <w:r w:rsidRPr="006D7069">
        <w:rPr>
          <w:rFonts w:hint="eastAsia"/>
          <w:sz w:val="30"/>
          <w:szCs w:val="30"/>
        </w:rPr>
        <w:t>章</w:t>
      </w:r>
      <w:bookmarkEnd w:id="0"/>
      <w:r w:rsidR="00C00B2E" w:rsidRPr="00C00B2E">
        <w:rPr>
          <w:rFonts w:hint="eastAsia"/>
          <w:sz w:val="30"/>
          <w:szCs w:val="30"/>
        </w:rPr>
        <w:t>企业财务综合</w:t>
      </w:r>
      <w:r w:rsidR="00C00B2E" w:rsidRPr="00C00B2E">
        <w:rPr>
          <w:sz w:val="30"/>
          <w:szCs w:val="30"/>
        </w:rPr>
        <w:t>分析与评价</w:t>
      </w:r>
    </w:p>
    <w:p w:rsidR="001A0C5A" w:rsidRPr="00BC0D8B" w:rsidRDefault="001A0C5A" w:rsidP="00A55A44">
      <w:pPr>
        <w:pStyle w:val="2"/>
        <w:spacing w:before="0" w:after="0" w:line="300" w:lineRule="auto"/>
        <w:rPr>
          <w:rFonts w:ascii="宋体" w:eastAsia="宋体" w:hAnsi="宋体"/>
          <w:sz w:val="21"/>
          <w:szCs w:val="21"/>
        </w:rPr>
      </w:pPr>
      <w:r w:rsidRPr="00BC0D8B">
        <w:rPr>
          <w:rFonts w:ascii="宋体" w:eastAsia="宋体" w:hAnsi="宋体" w:hint="eastAsia"/>
          <w:sz w:val="21"/>
          <w:szCs w:val="21"/>
        </w:rPr>
        <w:t>课后习题答案</w:t>
      </w:r>
    </w:p>
    <w:p w:rsidR="001A0C5A" w:rsidRDefault="001A0C5A" w:rsidP="00A55A44">
      <w:pPr>
        <w:pStyle w:val="3"/>
        <w:spacing w:before="0" w:after="0" w:line="300" w:lineRule="auto"/>
        <w:ind w:firstLineChars="200" w:firstLine="422"/>
        <w:rPr>
          <w:rFonts w:ascii="宋体" w:hAnsi="宋体"/>
          <w:sz w:val="21"/>
          <w:szCs w:val="21"/>
        </w:rPr>
      </w:pPr>
      <w:r w:rsidRPr="002265E0">
        <w:rPr>
          <w:rFonts w:ascii="宋体" w:hAnsi="宋体" w:hint="eastAsia"/>
          <w:sz w:val="21"/>
          <w:szCs w:val="21"/>
        </w:rPr>
        <w:t>1．</w:t>
      </w:r>
      <w:r w:rsidR="00BF439C" w:rsidRPr="00BF439C">
        <w:rPr>
          <w:rFonts w:ascii="宋体" w:hAnsi="宋体" w:hint="eastAsia"/>
          <w:sz w:val="21"/>
          <w:szCs w:val="21"/>
        </w:rPr>
        <w:t>简述财务综合分析</w:t>
      </w:r>
      <w:r w:rsidR="00C976E3">
        <w:rPr>
          <w:rFonts w:ascii="宋体" w:hAnsi="宋体" w:hint="eastAsia"/>
          <w:sz w:val="21"/>
          <w:szCs w:val="21"/>
        </w:rPr>
        <w:t>与评价的含义</w:t>
      </w:r>
      <w:r w:rsidR="00BF439C" w:rsidRPr="00BF439C">
        <w:rPr>
          <w:rFonts w:ascii="宋体" w:hAnsi="宋体" w:hint="eastAsia"/>
          <w:sz w:val="21"/>
          <w:szCs w:val="21"/>
        </w:rPr>
        <w:t>。</w:t>
      </w:r>
    </w:p>
    <w:p w:rsidR="00C976E3" w:rsidRDefault="00BF439C" w:rsidP="00C976E3">
      <w:pPr>
        <w:spacing w:line="300" w:lineRule="auto"/>
        <w:ind w:firstLineChars="200" w:firstLine="420"/>
      </w:pPr>
      <w:r>
        <w:rPr>
          <w:rFonts w:hint="eastAsia"/>
        </w:rPr>
        <w:t>财务报表综合分析和评价方法是相对财务报表单项分析而言的，与单项分析相比，综合分析与评价方法具有以下特点：</w:t>
      </w:r>
    </w:p>
    <w:p w:rsidR="00BF439C" w:rsidRDefault="00C976E3" w:rsidP="00A55A44">
      <w:pPr>
        <w:spacing w:line="300" w:lineRule="auto"/>
        <w:ind w:firstLineChars="200" w:firstLine="420"/>
      </w:pPr>
      <w:r>
        <w:rPr>
          <w:rFonts w:hint="eastAsia"/>
        </w:rPr>
        <w:t>（</w:t>
      </w:r>
      <w:r>
        <w:rPr>
          <w:rFonts w:hint="eastAsia"/>
        </w:rPr>
        <w:t>1</w:t>
      </w:r>
      <w:r>
        <w:rPr>
          <w:rFonts w:hint="eastAsia"/>
        </w:rPr>
        <w:t>）</w:t>
      </w:r>
      <w:r w:rsidR="00BF439C">
        <w:rPr>
          <w:rFonts w:hint="eastAsia"/>
        </w:rPr>
        <w:t>分析方法不同</w:t>
      </w:r>
      <w:r>
        <w:rPr>
          <w:rFonts w:hint="eastAsia"/>
        </w:rPr>
        <w:t>。</w:t>
      </w:r>
      <w:r w:rsidR="00BF439C">
        <w:rPr>
          <w:rFonts w:hint="eastAsia"/>
        </w:rPr>
        <w:t>单项分析通常把企业财务活动的总体分解为各个具体部分，认识每一个具体的财务现象，可以对财务状况和经营成果的某一方面作出判断和评价；而综合分析则是通过把个别财务现象从财务活动的总体上作出归纳综合，着重从整体上概括财务活动的本质特征。因此，单项分析具有实务性和实证性，是综合分析的基础；综合分析是对单项分析的抽象和概括，具有高度的抽象性和概括性。</w:t>
      </w:r>
    </w:p>
    <w:p w:rsidR="00BF439C" w:rsidRDefault="00C976E3" w:rsidP="00A55A44">
      <w:pPr>
        <w:spacing w:line="300" w:lineRule="auto"/>
        <w:ind w:firstLineChars="200" w:firstLine="420"/>
      </w:pPr>
      <w:r>
        <w:rPr>
          <w:rFonts w:hint="eastAsia"/>
        </w:rPr>
        <w:t>（</w:t>
      </w:r>
      <w:r>
        <w:rPr>
          <w:rFonts w:hint="eastAsia"/>
        </w:rPr>
        <w:t>2</w:t>
      </w:r>
      <w:r>
        <w:rPr>
          <w:rFonts w:hint="eastAsia"/>
        </w:rPr>
        <w:t>）</w:t>
      </w:r>
      <w:r w:rsidR="00BF439C">
        <w:rPr>
          <w:rFonts w:hint="eastAsia"/>
        </w:rPr>
        <w:t>分析重点和基准不同</w:t>
      </w:r>
      <w:r>
        <w:rPr>
          <w:rFonts w:hint="eastAsia"/>
        </w:rPr>
        <w:t>。</w:t>
      </w:r>
      <w:r w:rsidR="00BF439C">
        <w:rPr>
          <w:rFonts w:hint="eastAsia"/>
        </w:rPr>
        <w:t>单项分析的重点和比较基准是财务计划、财务理论标准；而综合分析的重点和基准是企业整体发展趋势。因此，单项分析把每个分析的指标视为同等重要，它难以考虑各种指标之间的相互关系；而财务综合分析强调各种指标有主辅之分，一定要抓住主要指标。</w:t>
      </w:r>
    </w:p>
    <w:p w:rsidR="00BF439C" w:rsidRDefault="00C976E3" w:rsidP="00A55A44">
      <w:pPr>
        <w:spacing w:line="300" w:lineRule="auto"/>
        <w:ind w:firstLineChars="200" w:firstLine="420"/>
      </w:pPr>
      <w:r>
        <w:rPr>
          <w:rFonts w:hint="eastAsia"/>
        </w:rPr>
        <w:t>（</w:t>
      </w:r>
      <w:r>
        <w:rPr>
          <w:rFonts w:hint="eastAsia"/>
        </w:rPr>
        <w:t>3</w:t>
      </w:r>
      <w:r>
        <w:rPr>
          <w:rFonts w:hint="eastAsia"/>
        </w:rPr>
        <w:t>）</w:t>
      </w:r>
      <w:r w:rsidR="00BF439C">
        <w:rPr>
          <w:rFonts w:hint="eastAsia"/>
        </w:rPr>
        <w:t>分析目的不同</w:t>
      </w:r>
      <w:r>
        <w:rPr>
          <w:rFonts w:hint="eastAsia"/>
        </w:rPr>
        <w:t>。</w:t>
      </w:r>
      <w:r w:rsidR="00BF439C">
        <w:rPr>
          <w:rFonts w:hint="eastAsia"/>
        </w:rPr>
        <w:t>单项分析的目的是有针对性的，侧重于找出企业财务状况和经营成果某一方面存在的问题，并提出改进措施；综合分析的目的是要全面评价企业的财务状况和经营成果，并提出具有全局性的改进意见。单项分析仅涉及一个领域或一个方面，而综合分析能够获得系统的、完整的信息。</w:t>
      </w:r>
    </w:p>
    <w:p w:rsidR="00BF439C" w:rsidRPr="00BF439C" w:rsidRDefault="00BF439C" w:rsidP="00A55A44">
      <w:pPr>
        <w:spacing w:line="300" w:lineRule="auto"/>
      </w:pPr>
    </w:p>
    <w:p w:rsidR="001A0C5A" w:rsidRDefault="001A0C5A" w:rsidP="00A55A44">
      <w:pPr>
        <w:pStyle w:val="3"/>
        <w:spacing w:before="0" w:after="0" w:line="300" w:lineRule="auto"/>
        <w:ind w:firstLineChars="200" w:firstLine="422"/>
        <w:rPr>
          <w:rFonts w:ascii="宋体" w:hAnsi="宋体"/>
          <w:sz w:val="21"/>
          <w:szCs w:val="21"/>
        </w:rPr>
      </w:pPr>
      <w:r w:rsidRPr="002265E0">
        <w:rPr>
          <w:rFonts w:ascii="宋体" w:hAnsi="宋体" w:hint="eastAsia"/>
          <w:sz w:val="21"/>
          <w:szCs w:val="21"/>
        </w:rPr>
        <w:t>2．</w:t>
      </w:r>
      <w:r w:rsidR="00C976E3">
        <w:rPr>
          <w:rFonts w:ascii="宋体" w:hAnsi="宋体" w:hint="eastAsia"/>
          <w:sz w:val="21"/>
          <w:szCs w:val="21"/>
        </w:rPr>
        <w:t>请</w:t>
      </w:r>
      <w:r w:rsidR="00C976E3">
        <w:rPr>
          <w:rFonts w:ascii="宋体" w:hAnsi="宋体"/>
          <w:sz w:val="21"/>
          <w:szCs w:val="21"/>
        </w:rPr>
        <w:t>谈谈对</w:t>
      </w:r>
      <w:r w:rsidR="00BF439C" w:rsidRPr="00BF439C">
        <w:rPr>
          <w:rFonts w:ascii="宋体" w:hAnsi="宋体" w:hint="eastAsia"/>
          <w:sz w:val="21"/>
          <w:szCs w:val="21"/>
        </w:rPr>
        <w:t>评价沃尔评分法</w:t>
      </w:r>
      <w:r w:rsidR="00C976E3">
        <w:rPr>
          <w:rFonts w:ascii="宋体" w:hAnsi="宋体" w:hint="eastAsia"/>
          <w:sz w:val="21"/>
          <w:szCs w:val="21"/>
        </w:rPr>
        <w:t>的</w:t>
      </w:r>
      <w:r w:rsidR="00C976E3">
        <w:rPr>
          <w:rFonts w:ascii="宋体" w:hAnsi="宋体"/>
          <w:sz w:val="21"/>
          <w:szCs w:val="21"/>
        </w:rPr>
        <w:t>看法</w:t>
      </w:r>
      <w:r w:rsidR="00BF439C" w:rsidRPr="00BF439C">
        <w:rPr>
          <w:rFonts w:ascii="宋体" w:hAnsi="宋体" w:hint="eastAsia"/>
          <w:sz w:val="21"/>
          <w:szCs w:val="21"/>
        </w:rPr>
        <w:t>。</w:t>
      </w:r>
    </w:p>
    <w:p w:rsidR="00CA67FE" w:rsidRDefault="00CA67FE" w:rsidP="00A55A44">
      <w:pPr>
        <w:spacing w:line="300" w:lineRule="auto"/>
        <w:ind w:firstLineChars="200" w:firstLine="420"/>
        <w:rPr>
          <w:rFonts w:eastAsiaTheme="minorEastAsia"/>
          <w:szCs w:val="22"/>
        </w:rPr>
      </w:pPr>
      <w:r>
        <w:rPr>
          <w:rFonts w:hint="eastAsia"/>
        </w:rPr>
        <w:t>沃尔评分法是企业财务综合分析的重要方法，具有简便易行的优点。然而，该方法的最大缺陷是主观性太强，主要体现在财务比率指标选择、各个指标权重的确定以及评分规则这三个方面。</w:t>
      </w:r>
    </w:p>
    <w:p w:rsidR="00CA67FE" w:rsidRDefault="00C976E3" w:rsidP="00A55A44">
      <w:pPr>
        <w:spacing w:line="300" w:lineRule="auto"/>
        <w:ind w:firstLineChars="200" w:firstLine="420"/>
      </w:pPr>
      <w:r>
        <w:rPr>
          <w:rFonts w:hint="eastAsia"/>
        </w:rPr>
        <w:t>（</w:t>
      </w:r>
      <w:r>
        <w:rPr>
          <w:rFonts w:hint="eastAsia"/>
        </w:rPr>
        <w:t>1</w:t>
      </w:r>
      <w:r>
        <w:rPr>
          <w:rFonts w:hint="eastAsia"/>
        </w:rPr>
        <w:t>）</w:t>
      </w:r>
      <w:r w:rsidR="00CA67FE">
        <w:rPr>
          <w:rFonts w:hint="eastAsia"/>
        </w:rPr>
        <w:t>指标选择方面</w:t>
      </w:r>
      <w:r>
        <w:rPr>
          <w:rFonts w:hint="eastAsia"/>
        </w:rPr>
        <w:t>。</w:t>
      </w:r>
      <w:r w:rsidR="00CA67FE">
        <w:rPr>
          <w:rFonts w:hint="eastAsia"/>
        </w:rPr>
        <w:t>沃尔评分法未能在理论上证明为什么要选择这</w:t>
      </w:r>
      <w:r w:rsidR="00CA67FE">
        <w:t>7</w:t>
      </w:r>
      <w:r w:rsidR="00CA67FE">
        <w:rPr>
          <w:rFonts w:hint="eastAsia"/>
        </w:rPr>
        <w:t>个指标，因而无法解决指标及指标数量选择上的主观性和随意性。</w:t>
      </w:r>
    </w:p>
    <w:p w:rsidR="00CA67FE" w:rsidRDefault="00C976E3" w:rsidP="00A55A44">
      <w:pPr>
        <w:spacing w:line="300" w:lineRule="auto"/>
        <w:ind w:firstLineChars="200" w:firstLine="420"/>
      </w:pPr>
      <w:r>
        <w:rPr>
          <w:rFonts w:hint="eastAsia"/>
        </w:rPr>
        <w:t>（</w:t>
      </w:r>
      <w:r>
        <w:rPr>
          <w:rFonts w:hint="eastAsia"/>
        </w:rPr>
        <w:t>2</w:t>
      </w:r>
      <w:r>
        <w:rPr>
          <w:rFonts w:hint="eastAsia"/>
        </w:rPr>
        <w:t>）</w:t>
      </w:r>
      <w:r w:rsidR="00CA67FE">
        <w:rPr>
          <w:rFonts w:hint="eastAsia"/>
        </w:rPr>
        <w:t>指标权重方面</w:t>
      </w:r>
      <w:r>
        <w:rPr>
          <w:rFonts w:hint="eastAsia"/>
        </w:rPr>
        <w:t>。</w:t>
      </w:r>
      <w:r w:rsidR="00CA67FE">
        <w:rPr>
          <w:rFonts w:hint="eastAsia"/>
        </w:rPr>
        <w:t>沃尔评分法无法提供赋予各个指标权重大小的依据，无法证明各个指标所占权重的合理性，因而导致各个指标权重的赋予具有较大的主观性和随意性。</w:t>
      </w:r>
    </w:p>
    <w:p w:rsidR="00CA67FE" w:rsidRDefault="00C976E3" w:rsidP="00A55A44">
      <w:pPr>
        <w:spacing w:line="300" w:lineRule="auto"/>
        <w:ind w:firstLineChars="200" w:firstLine="420"/>
      </w:pPr>
      <w:r>
        <w:rPr>
          <w:rFonts w:hint="eastAsia"/>
        </w:rPr>
        <w:t>（</w:t>
      </w:r>
      <w:r>
        <w:rPr>
          <w:rFonts w:hint="eastAsia"/>
        </w:rPr>
        <w:t>3</w:t>
      </w:r>
      <w:r>
        <w:rPr>
          <w:rFonts w:hint="eastAsia"/>
        </w:rPr>
        <w:t>）</w:t>
      </w:r>
      <w:r w:rsidR="00CA67FE">
        <w:rPr>
          <w:rFonts w:hint="eastAsia"/>
        </w:rPr>
        <w:t>指标评分规则方面</w:t>
      </w:r>
      <w:r>
        <w:rPr>
          <w:rFonts w:hint="eastAsia"/>
        </w:rPr>
        <w:t>。</w:t>
      </w:r>
      <w:r w:rsidR="00CA67FE">
        <w:rPr>
          <w:rFonts w:hint="eastAsia"/>
        </w:rPr>
        <w:t>沃尔评分法的评分规则是，比率的实际值越高，其单项得分就越高，企业的总体评价就越好，但这并不适合所有的财务比率指标。显然，当实际值大于标准值为理想时，实际值越大，得分越高，应用该评分规则正确；当实际值小于标准值为理想时，实际值越小，得分应越高，应用该评分规则的结果却恰恰相反；还有一些比率指标的实际值太大或太小都不好，例如，流动比率指标就并非越高越好，因为这将对企业的盈利能力与发展能力造成不利影响，并削弱企业的长期偿债能力。</w:t>
      </w:r>
    </w:p>
    <w:p w:rsidR="00CA67FE" w:rsidRDefault="00C976E3" w:rsidP="00A55A44">
      <w:pPr>
        <w:spacing w:line="300" w:lineRule="auto"/>
        <w:ind w:firstLineChars="200" w:firstLine="420"/>
      </w:pPr>
      <w:r>
        <w:rPr>
          <w:rFonts w:hint="eastAsia"/>
        </w:rPr>
        <w:t>（</w:t>
      </w:r>
      <w:r>
        <w:rPr>
          <w:rFonts w:hint="eastAsia"/>
        </w:rPr>
        <w:t>4</w:t>
      </w:r>
      <w:r>
        <w:rPr>
          <w:rFonts w:hint="eastAsia"/>
        </w:rPr>
        <w:t>）</w:t>
      </w:r>
      <w:r w:rsidR="00CA67FE">
        <w:rPr>
          <w:rFonts w:hint="eastAsia"/>
        </w:rPr>
        <w:t>技术方面</w:t>
      </w:r>
      <w:r>
        <w:rPr>
          <w:rFonts w:hint="eastAsia"/>
        </w:rPr>
        <w:t>。</w:t>
      </w:r>
      <w:r w:rsidR="00CA67FE">
        <w:rPr>
          <w:rFonts w:hint="eastAsia"/>
        </w:rPr>
        <w:t>沃尔比重评分法从技术上来讲存在一个问题，就是当某一个指标严重异常时，会对总评分产生不合逻辑的重大影响。这个缺陷是由相对比率与比重相乘引起的。</w:t>
      </w:r>
    </w:p>
    <w:p w:rsidR="001A0C5A" w:rsidRDefault="001A0C5A" w:rsidP="00A55A44">
      <w:pPr>
        <w:pStyle w:val="3"/>
        <w:spacing w:before="0" w:after="0" w:line="300" w:lineRule="auto"/>
        <w:ind w:firstLineChars="200" w:firstLine="422"/>
        <w:rPr>
          <w:rFonts w:ascii="宋体" w:hAnsi="宋体"/>
          <w:sz w:val="21"/>
          <w:szCs w:val="21"/>
        </w:rPr>
      </w:pPr>
      <w:r w:rsidRPr="002265E0">
        <w:rPr>
          <w:rFonts w:ascii="宋体" w:hAnsi="宋体" w:hint="eastAsia"/>
          <w:sz w:val="21"/>
          <w:szCs w:val="21"/>
        </w:rPr>
        <w:lastRenderedPageBreak/>
        <w:t>3．</w:t>
      </w:r>
      <w:r w:rsidR="00BF439C" w:rsidRPr="00BF439C">
        <w:rPr>
          <w:rFonts w:ascii="宋体" w:hAnsi="宋体" w:hint="eastAsia"/>
          <w:sz w:val="21"/>
          <w:szCs w:val="21"/>
        </w:rPr>
        <w:t>简述杜邦分析法</w:t>
      </w:r>
      <w:r w:rsidR="00C976E3">
        <w:rPr>
          <w:rFonts w:ascii="宋体" w:hAnsi="宋体" w:hint="eastAsia"/>
          <w:sz w:val="21"/>
          <w:szCs w:val="21"/>
        </w:rPr>
        <w:t>的基本</w:t>
      </w:r>
      <w:r w:rsidR="00C976E3">
        <w:rPr>
          <w:rFonts w:ascii="宋体" w:hAnsi="宋体"/>
          <w:sz w:val="21"/>
          <w:szCs w:val="21"/>
        </w:rPr>
        <w:t>思路</w:t>
      </w:r>
      <w:r w:rsidR="00BF439C" w:rsidRPr="00BF439C">
        <w:rPr>
          <w:rFonts w:ascii="宋体" w:hAnsi="宋体" w:hint="eastAsia"/>
          <w:sz w:val="21"/>
          <w:szCs w:val="21"/>
        </w:rPr>
        <w:t>。</w:t>
      </w:r>
    </w:p>
    <w:p w:rsidR="00A344C3" w:rsidRDefault="00CA67FE" w:rsidP="00A55A44">
      <w:pPr>
        <w:snapToGrid w:val="0"/>
        <w:spacing w:line="300" w:lineRule="auto"/>
        <w:ind w:firstLineChars="200" w:firstLine="420"/>
        <w:rPr>
          <w:rFonts w:ascii="宋体" w:hAnsi="宋体"/>
          <w:kern w:val="0"/>
          <w:szCs w:val="21"/>
        </w:rPr>
      </w:pPr>
      <w:r>
        <w:rPr>
          <w:rFonts w:ascii="宋体" w:hAnsi="宋体" w:hint="eastAsia"/>
          <w:kern w:val="0"/>
          <w:szCs w:val="21"/>
        </w:rPr>
        <w:t>杜邦分析法的基本思路是建立一套完整的、相互关联的财务比率体系。该方法是以权益净利率为龙头，以资产净利率和权益乘数为分支，重点解释企业获利能力及杠杆水平对权益净利率的影响，以及各相关指标间的相互作用关系。</w:t>
      </w:r>
    </w:p>
    <w:p w:rsidR="00A344C3" w:rsidRDefault="00A344C3" w:rsidP="00A55A44">
      <w:pPr>
        <w:snapToGrid w:val="0"/>
        <w:spacing w:line="300" w:lineRule="auto"/>
        <w:ind w:firstLineChars="200" w:firstLine="420"/>
        <w:rPr>
          <w:rFonts w:ascii="宋体" w:hAnsi="宋体"/>
          <w:szCs w:val="21"/>
        </w:rPr>
      </w:pPr>
      <w:r w:rsidRPr="00A344C3">
        <w:rPr>
          <w:rFonts w:ascii="宋体" w:hAnsi="宋体" w:hint="eastAsia"/>
          <w:szCs w:val="21"/>
        </w:rPr>
        <w:t xml:space="preserve">权益净利率是一个综合性最强的财务分析指标，是杜邦分析系统的核心。    </w:t>
      </w:r>
    </w:p>
    <w:p w:rsidR="00A344C3" w:rsidRDefault="00A344C3" w:rsidP="00A55A44">
      <w:pPr>
        <w:snapToGrid w:val="0"/>
        <w:spacing w:line="300" w:lineRule="auto"/>
        <w:ind w:firstLineChars="200" w:firstLine="420"/>
        <w:rPr>
          <w:rFonts w:ascii="宋体" w:hAnsi="宋体"/>
          <w:szCs w:val="21"/>
        </w:rPr>
      </w:pPr>
      <w:r w:rsidRPr="00A344C3">
        <w:rPr>
          <w:rFonts w:ascii="宋体" w:hAnsi="宋体" w:hint="eastAsia"/>
          <w:szCs w:val="21"/>
        </w:rPr>
        <w:t xml:space="preserve">资产净利率是影响权益净利率的最重要的指标，具有很强的综合性，而资产净利率又取决于销售净利率和总资产周转率的高低。总资产周转率是反映总资产的周转速度。对资产周转率的分析，需要对影响资产周转的各因素进行分析，以判明影响公司资产周转的主要问题在哪里。销售净利率反映销售收入的收益水平。扩大销售收入，降低成本费用是提高企业销售利润率的根本途径，而扩大销售，同时也是提高资产周转率的必要条件和途径。    </w:t>
      </w:r>
    </w:p>
    <w:p w:rsidR="00CA67FE" w:rsidRPr="00CA67FE" w:rsidRDefault="00A344C3" w:rsidP="00A55A44">
      <w:pPr>
        <w:snapToGrid w:val="0"/>
        <w:spacing w:line="300" w:lineRule="auto"/>
        <w:ind w:firstLineChars="200" w:firstLine="420"/>
      </w:pPr>
      <w:r w:rsidRPr="00A344C3">
        <w:rPr>
          <w:rFonts w:ascii="宋体" w:hAnsi="宋体" w:hint="eastAsia"/>
          <w:szCs w:val="21"/>
        </w:rPr>
        <w:t>权益乘数表示企业的负债程度，反映了公司利用财务杠杆进行经营活动的程度。资产负债率高，权益乘数就大，这说明公司负债程度高，公司会有较多的杠杆利益，但风险也高；反之，资产负债率低，权益乘数就小，这说明公司负债程度低，公司会有较少的杠杆利益，但相应所承担的风险也低。</w:t>
      </w:r>
    </w:p>
    <w:p w:rsidR="001A0C5A" w:rsidRDefault="001A0C5A" w:rsidP="00A55A44">
      <w:pPr>
        <w:pStyle w:val="3"/>
        <w:spacing w:before="0" w:after="0" w:line="300" w:lineRule="auto"/>
        <w:ind w:firstLineChars="200" w:firstLine="422"/>
        <w:rPr>
          <w:rFonts w:ascii="宋体" w:hAnsi="宋体"/>
          <w:szCs w:val="21"/>
        </w:rPr>
      </w:pPr>
      <w:r w:rsidRPr="002265E0">
        <w:rPr>
          <w:rFonts w:ascii="宋体" w:hAnsi="宋体" w:hint="eastAsia"/>
          <w:sz w:val="21"/>
          <w:szCs w:val="21"/>
        </w:rPr>
        <w:t>4．</w:t>
      </w:r>
      <w:r w:rsidR="00BF439C" w:rsidRPr="00BF439C">
        <w:rPr>
          <w:rFonts w:ascii="宋体" w:hAnsi="宋体" w:hint="eastAsia"/>
          <w:sz w:val="21"/>
          <w:szCs w:val="21"/>
        </w:rPr>
        <w:t>简述杜邦财务分析</w:t>
      </w:r>
      <w:r w:rsidR="00C976E3">
        <w:rPr>
          <w:rFonts w:ascii="宋体" w:hAnsi="宋体" w:hint="eastAsia"/>
          <w:sz w:val="21"/>
          <w:szCs w:val="21"/>
        </w:rPr>
        <w:t>法的</w:t>
      </w:r>
      <w:r w:rsidR="00BF439C" w:rsidRPr="00BF439C">
        <w:rPr>
          <w:rFonts w:ascii="宋体" w:hAnsi="宋体" w:hint="eastAsia"/>
          <w:sz w:val="21"/>
          <w:szCs w:val="21"/>
        </w:rPr>
        <w:t>局限性。</w:t>
      </w:r>
    </w:p>
    <w:p w:rsidR="00A344C3" w:rsidRDefault="00A344C3" w:rsidP="00A55A44">
      <w:pPr>
        <w:spacing w:line="300" w:lineRule="auto"/>
        <w:ind w:firstLineChars="200" w:firstLine="420"/>
      </w:pPr>
      <w:r>
        <w:rPr>
          <w:rFonts w:hint="eastAsia"/>
        </w:rPr>
        <w:t>优点：</w:t>
      </w:r>
    </w:p>
    <w:p w:rsidR="00A344C3" w:rsidRDefault="00A344C3" w:rsidP="00A55A44">
      <w:pPr>
        <w:spacing w:line="300" w:lineRule="auto"/>
        <w:ind w:firstLineChars="200" w:firstLine="420"/>
      </w:pPr>
      <w:r w:rsidRPr="00A344C3">
        <w:rPr>
          <w:rFonts w:hint="eastAsia"/>
        </w:rPr>
        <w:t>采用这一方法，可使财务比率分析的层次更清晰、条理更突出，为报表分析者全面仔细地了解企业的经营和盈利状况提供方便。</w:t>
      </w:r>
      <w:r w:rsidRPr="00A344C3">
        <w:rPr>
          <w:rFonts w:hint="eastAsia"/>
        </w:rPr>
        <w:t xml:space="preserve">    </w:t>
      </w:r>
    </w:p>
    <w:p w:rsidR="00BF439C" w:rsidRDefault="00A344C3" w:rsidP="00A55A44">
      <w:pPr>
        <w:spacing w:line="300" w:lineRule="auto"/>
        <w:ind w:firstLineChars="200" w:firstLine="420"/>
      </w:pPr>
      <w:r w:rsidRPr="00A344C3">
        <w:rPr>
          <w:rFonts w:hint="eastAsia"/>
        </w:rPr>
        <w:t>杜邦分析法有助于企业管理层更加清晰地看到权益资本收益率的决定因素，以及销售净利润率与总资产周转率、债务比率之间的相互关联关系，给管理层提供了一张明晰的考察公司资产管理效率和是否最大化股东投资回报的路线图。</w:t>
      </w:r>
    </w:p>
    <w:p w:rsidR="00A344C3" w:rsidRDefault="00A344C3" w:rsidP="00A55A44">
      <w:pPr>
        <w:spacing w:line="300" w:lineRule="auto"/>
        <w:ind w:firstLineChars="200" w:firstLine="420"/>
      </w:pPr>
      <w:r>
        <w:t>局限性</w:t>
      </w:r>
      <w:r>
        <w:rPr>
          <w:rFonts w:hint="eastAsia"/>
        </w:rPr>
        <w:t>：</w:t>
      </w:r>
    </w:p>
    <w:p w:rsidR="00A344C3" w:rsidRPr="00A344C3" w:rsidRDefault="00A344C3" w:rsidP="00A55A44">
      <w:pPr>
        <w:spacing w:line="300" w:lineRule="auto"/>
        <w:ind w:firstLineChars="200" w:firstLine="420"/>
        <w:rPr>
          <w:rFonts w:ascii="宋体" w:hAnsi="宋体"/>
          <w:szCs w:val="21"/>
        </w:rPr>
      </w:pPr>
      <w:r w:rsidRPr="00A344C3">
        <w:rPr>
          <w:rFonts w:ascii="宋体" w:hAnsi="宋体" w:hint="eastAsia"/>
          <w:szCs w:val="21"/>
        </w:rPr>
        <w:t>1</w:t>
      </w:r>
      <w:r w:rsidR="00C976E3">
        <w:rPr>
          <w:rFonts w:ascii="宋体" w:hAnsi="宋体" w:hint="eastAsia"/>
          <w:szCs w:val="21"/>
        </w:rPr>
        <w:t>）</w:t>
      </w:r>
      <w:r w:rsidRPr="00A344C3">
        <w:rPr>
          <w:rFonts w:ascii="宋体" w:hAnsi="宋体" w:hint="eastAsia"/>
          <w:szCs w:val="21"/>
        </w:rPr>
        <w:t>忽视了对现金流量的分析</w:t>
      </w:r>
    </w:p>
    <w:p w:rsidR="00A344C3" w:rsidRPr="00A344C3" w:rsidRDefault="00A344C3" w:rsidP="00A55A44">
      <w:pPr>
        <w:spacing w:line="300" w:lineRule="auto"/>
        <w:ind w:firstLineChars="200" w:firstLine="420"/>
        <w:rPr>
          <w:rFonts w:ascii="宋体" w:hAnsi="宋体"/>
          <w:szCs w:val="21"/>
        </w:rPr>
      </w:pPr>
      <w:r w:rsidRPr="00A344C3">
        <w:rPr>
          <w:rFonts w:ascii="宋体" w:hAnsi="宋体" w:hint="eastAsia"/>
          <w:szCs w:val="21"/>
        </w:rPr>
        <w:t>现行杜邦体系所使用的数据都来自资产负债表、利润表和利润分配表，没有包括现金流量方面的信息，不能反映企业的现金流量情况，因而不能对企业作更准确、全面的财务分析。在市场经济条件下，企业现金流量在很大程度上决定着企业的偿债能力和盈利能力，如果企业的现金流量不足、周转不畅、调配不灵，都将会影响企业的生存和发展。</w:t>
      </w:r>
    </w:p>
    <w:p w:rsidR="00A344C3" w:rsidRPr="00A344C3" w:rsidRDefault="00A344C3" w:rsidP="00A55A44">
      <w:pPr>
        <w:spacing w:line="300" w:lineRule="auto"/>
        <w:ind w:firstLineChars="200" w:firstLine="420"/>
        <w:rPr>
          <w:rFonts w:ascii="宋体" w:hAnsi="宋体"/>
          <w:szCs w:val="21"/>
        </w:rPr>
      </w:pPr>
      <w:r w:rsidRPr="00A344C3">
        <w:rPr>
          <w:rFonts w:ascii="宋体" w:hAnsi="宋体" w:hint="eastAsia"/>
          <w:szCs w:val="21"/>
        </w:rPr>
        <w:t>2</w:t>
      </w:r>
      <w:r w:rsidR="00C976E3">
        <w:rPr>
          <w:rFonts w:ascii="宋体" w:hAnsi="宋体" w:hint="eastAsia"/>
          <w:szCs w:val="21"/>
        </w:rPr>
        <w:t>）</w:t>
      </w:r>
      <w:r w:rsidRPr="00A344C3">
        <w:rPr>
          <w:rFonts w:ascii="宋体" w:hAnsi="宋体" w:hint="eastAsia"/>
          <w:szCs w:val="21"/>
        </w:rPr>
        <w:t>不能全面反映上市公司的重要财务指标</w:t>
      </w:r>
    </w:p>
    <w:p w:rsidR="00A344C3" w:rsidRPr="00A344C3" w:rsidRDefault="00A344C3" w:rsidP="00A55A44">
      <w:pPr>
        <w:spacing w:line="300" w:lineRule="auto"/>
        <w:ind w:firstLineChars="200" w:firstLine="420"/>
        <w:rPr>
          <w:rFonts w:ascii="宋体" w:hAnsi="宋体"/>
          <w:szCs w:val="21"/>
        </w:rPr>
      </w:pPr>
      <w:r w:rsidRPr="00A344C3">
        <w:rPr>
          <w:rFonts w:ascii="宋体" w:hAnsi="宋体" w:hint="eastAsia"/>
          <w:szCs w:val="21"/>
        </w:rPr>
        <w:t>对于上市公司而言，最重要的财务指标有每股收益、每股净资产、净资产收益率和股利支付率等。但是，杜邦分析法并没有全面反映上述重要的财务指标，导致杜邦分析体系不能反映公司股东权益的股份化，不利于体现股东财富最大化的财务目标。</w:t>
      </w:r>
    </w:p>
    <w:p w:rsidR="00A344C3" w:rsidRPr="00A344C3" w:rsidRDefault="00A344C3" w:rsidP="00A55A44">
      <w:pPr>
        <w:spacing w:line="300" w:lineRule="auto"/>
        <w:ind w:firstLineChars="200" w:firstLine="420"/>
        <w:rPr>
          <w:rFonts w:ascii="宋体" w:hAnsi="宋体"/>
          <w:szCs w:val="21"/>
        </w:rPr>
      </w:pPr>
      <w:r w:rsidRPr="00A344C3">
        <w:rPr>
          <w:rFonts w:ascii="宋体" w:hAnsi="宋体" w:hint="eastAsia"/>
          <w:szCs w:val="21"/>
        </w:rPr>
        <w:t>3</w:t>
      </w:r>
      <w:r w:rsidR="00C976E3">
        <w:rPr>
          <w:rFonts w:ascii="宋体" w:hAnsi="宋体" w:hint="eastAsia"/>
          <w:szCs w:val="21"/>
        </w:rPr>
        <w:t>）</w:t>
      </w:r>
      <w:r w:rsidRPr="00A344C3">
        <w:rPr>
          <w:rFonts w:ascii="宋体" w:hAnsi="宋体" w:hint="eastAsia"/>
          <w:szCs w:val="21"/>
        </w:rPr>
        <w:t>忽视了对企业可持续发展能力的分析</w:t>
      </w:r>
    </w:p>
    <w:p w:rsidR="00A344C3" w:rsidRPr="00A344C3" w:rsidRDefault="00A344C3" w:rsidP="00A55A44">
      <w:pPr>
        <w:spacing w:line="300" w:lineRule="auto"/>
        <w:ind w:firstLineChars="200" w:firstLine="420"/>
        <w:rPr>
          <w:rFonts w:ascii="宋体" w:hAnsi="宋体"/>
          <w:szCs w:val="21"/>
        </w:rPr>
      </w:pPr>
      <w:r w:rsidRPr="00A344C3">
        <w:rPr>
          <w:rFonts w:ascii="宋体" w:hAnsi="宋体" w:hint="eastAsia"/>
          <w:szCs w:val="21"/>
        </w:rPr>
        <w:t xml:space="preserve">无论是宏观经济走势还是每个企业的发展状况，都离不开对企业可持续发展能力的综合分析和判断。然而，由于核心指标净资产收益率受到会计利润短期性的影响，杜邦分析法过分重视短期财务结果，缺乏对企业可持续发展能力的分析，有可能助长企业的短期化行为，忽略企业长期的价值创造，不利于企业的可持续发展。  </w:t>
      </w:r>
    </w:p>
    <w:p w:rsidR="00A344C3" w:rsidRPr="00A344C3" w:rsidRDefault="00A344C3" w:rsidP="00A55A44">
      <w:pPr>
        <w:spacing w:line="300" w:lineRule="auto"/>
        <w:ind w:firstLineChars="200" w:firstLine="420"/>
        <w:rPr>
          <w:rFonts w:ascii="宋体" w:hAnsi="宋体"/>
          <w:szCs w:val="21"/>
        </w:rPr>
      </w:pPr>
      <w:r w:rsidRPr="00A344C3">
        <w:rPr>
          <w:rFonts w:ascii="宋体" w:hAnsi="宋体" w:hint="eastAsia"/>
          <w:szCs w:val="21"/>
        </w:rPr>
        <w:t>4</w:t>
      </w:r>
      <w:r w:rsidR="00C976E3">
        <w:rPr>
          <w:rFonts w:ascii="宋体" w:hAnsi="宋体" w:hint="eastAsia"/>
          <w:szCs w:val="21"/>
        </w:rPr>
        <w:t>）</w:t>
      </w:r>
      <w:r w:rsidRPr="00A344C3">
        <w:rPr>
          <w:rFonts w:ascii="宋体" w:hAnsi="宋体" w:hint="eastAsia"/>
          <w:szCs w:val="21"/>
        </w:rPr>
        <w:t>分析指标仅局限于财务指标</w:t>
      </w:r>
    </w:p>
    <w:p w:rsidR="00A344C3" w:rsidRPr="00A344C3" w:rsidRDefault="00A344C3" w:rsidP="00A55A44">
      <w:pPr>
        <w:spacing w:line="300" w:lineRule="auto"/>
        <w:ind w:firstLineChars="200" w:firstLine="420"/>
        <w:rPr>
          <w:rFonts w:ascii="宋体" w:hAnsi="宋体"/>
          <w:szCs w:val="21"/>
        </w:rPr>
      </w:pPr>
      <w:r w:rsidRPr="00A344C3">
        <w:rPr>
          <w:rFonts w:ascii="宋体" w:hAnsi="宋体" w:hint="eastAsia"/>
          <w:szCs w:val="21"/>
        </w:rPr>
        <w:lastRenderedPageBreak/>
        <w:t>财务指标反映的是企业过去的经营业绩，能够满足衡量工业时代企业的要求。但在目前的信息时代，顾客、供应商、员工、技术创新等因素对企业经营业绩的影响越来越大，而杜邦分析法在这些方面是无能为力的。</w:t>
      </w:r>
    </w:p>
    <w:p w:rsidR="00A344C3" w:rsidRPr="00A344C3" w:rsidRDefault="00A344C3" w:rsidP="00A55A44">
      <w:pPr>
        <w:spacing w:line="300" w:lineRule="auto"/>
        <w:ind w:firstLineChars="200" w:firstLine="420"/>
        <w:rPr>
          <w:rFonts w:ascii="宋体" w:hAnsi="宋体"/>
          <w:szCs w:val="21"/>
        </w:rPr>
      </w:pPr>
      <w:r w:rsidRPr="00A344C3">
        <w:rPr>
          <w:rFonts w:ascii="宋体" w:hAnsi="宋体" w:hint="eastAsia"/>
          <w:szCs w:val="21"/>
        </w:rPr>
        <w:t>5</w:t>
      </w:r>
      <w:r w:rsidR="00C976E3">
        <w:rPr>
          <w:rFonts w:ascii="宋体" w:hAnsi="宋体" w:hint="eastAsia"/>
          <w:szCs w:val="21"/>
        </w:rPr>
        <w:t>）</w:t>
      </w:r>
      <w:r w:rsidRPr="00A344C3">
        <w:rPr>
          <w:rFonts w:ascii="宋体" w:hAnsi="宋体" w:hint="eastAsia"/>
          <w:szCs w:val="21"/>
        </w:rPr>
        <w:t>忽视了对企业的绩效进行评价</w:t>
      </w:r>
    </w:p>
    <w:p w:rsidR="00A344C3" w:rsidRPr="00A344C3" w:rsidRDefault="00A344C3" w:rsidP="00A55A44">
      <w:pPr>
        <w:spacing w:line="300" w:lineRule="auto"/>
        <w:ind w:firstLineChars="200" w:firstLine="420"/>
      </w:pPr>
      <w:r w:rsidRPr="00A344C3">
        <w:rPr>
          <w:rFonts w:ascii="宋体" w:hAnsi="宋体" w:hint="eastAsia"/>
          <w:szCs w:val="21"/>
        </w:rPr>
        <w:t>从企业的内部管理和绩效考核的角度来看，由于杜邦分析法只包括财务方面的信息，基本限于事后财务分析，对事前预测、事中控制的作用不大，对于企业的绩效评价，也有很大的局限性。</w:t>
      </w:r>
    </w:p>
    <w:p w:rsidR="001A0C5A" w:rsidRDefault="001A0C5A" w:rsidP="00A55A44">
      <w:pPr>
        <w:pStyle w:val="3"/>
        <w:spacing w:before="0" w:after="0" w:line="300" w:lineRule="auto"/>
        <w:ind w:firstLineChars="200" w:firstLine="422"/>
        <w:rPr>
          <w:rFonts w:ascii="宋体" w:hAnsi="宋体"/>
        </w:rPr>
      </w:pPr>
      <w:r w:rsidRPr="002265E0">
        <w:rPr>
          <w:rFonts w:ascii="宋体" w:hAnsi="宋体" w:hint="eastAsia"/>
          <w:sz w:val="21"/>
          <w:szCs w:val="21"/>
        </w:rPr>
        <w:t>5．</w:t>
      </w:r>
      <w:r w:rsidR="00BF439C" w:rsidRPr="00BF439C">
        <w:rPr>
          <w:rFonts w:ascii="宋体" w:hAnsi="宋体" w:hint="eastAsia"/>
          <w:sz w:val="21"/>
          <w:szCs w:val="21"/>
        </w:rPr>
        <w:t>分析杜邦财务分析指标体系中主要财务指标之间的相互关系。</w:t>
      </w:r>
    </w:p>
    <w:p w:rsidR="0020457A" w:rsidRDefault="0020457A" w:rsidP="00A55A44">
      <w:pPr>
        <w:spacing w:line="300" w:lineRule="auto"/>
      </w:pPr>
      <w:r w:rsidRPr="0020457A">
        <w:rPr>
          <w:rFonts w:hint="eastAsia"/>
        </w:rPr>
        <w:t>杜邦分析法中的几种主要的财务指标关系为：</w:t>
      </w:r>
      <w:r w:rsidRPr="0020457A">
        <w:rPr>
          <w:rFonts w:hint="eastAsia"/>
        </w:rPr>
        <w:t xml:space="preserve">    </w:t>
      </w:r>
    </w:p>
    <w:p w:rsidR="0020457A" w:rsidRDefault="0020457A" w:rsidP="00A55A44">
      <w:pPr>
        <w:spacing w:line="300" w:lineRule="auto"/>
      </w:pPr>
      <w:r w:rsidRPr="0020457A">
        <w:rPr>
          <w:rFonts w:hint="eastAsia"/>
        </w:rPr>
        <w:t>净资产收益率＝资产净利率×权益乘数</w:t>
      </w:r>
      <w:r w:rsidRPr="0020457A">
        <w:rPr>
          <w:rFonts w:hint="eastAsia"/>
        </w:rPr>
        <w:t xml:space="preserve">   </w:t>
      </w:r>
    </w:p>
    <w:p w:rsidR="0020457A" w:rsidRDefault="0020457A" w:rsidP="00A55A44">
      <w:pPr>
        <w:spacing w:line="300" w:lineRule="auto"/>
      </w:pPr>
      <w:r w:rsidRPr="0020457A">
        <w:rPr>
          <w:rFonts w:hint="eastAsia"/>
        </w:rPr>
        <w:t>而：资产净利率＝销售净利率×资产周转率</w:t>
      </w:r>
      <w:r w:rsidRPr="0020457A">
        <w:rPr>
          <w:rFonts w:hint="eastAsia"/>
        </w:rPr>
        <w:t xml:space="preserve">    </w:t>
      </w:r>
    </w:p>
    <w:p w:rsidR="00BF439C" w:rsidRPr="00BF439C" w:rsidRDefault="0020457A" w:rsidP="00A55A44">
      <w:pPr>
        <w:spacing w:line="300" w:lineRule="auto"/>
      </w:pPr>
      <w:r w:rsidRPr="0020457A">
        <w:rPr>
          <w:rFonts w:hint="eastAsia"/>
        </w:rPr>
        <w:t>即：净资产收益率＝销售净利率×资产周转率×权益乘数</w:t>
      </w:r>
    </w:p>
    <w:p w:rsidR="001A0C5A" w:rsidRPr="002265E0" w:rsidRDefault="001A0C5A" w:rsidP="00A55A44">
      <w:pPr>
        <w:pStyle w:val="3"/>
        <w:spacing w:before="0" w:after="0" w:line="300" w:lineRule="auto"/>
        <w:ind w:firstLineChars="200" w:firstLine="422"/>
        <w:rPr>
          <w:rFonts w:ascii="宋体" w:hAnsi="宋体" w:hint="eastAsia"/>
          <w:sz w:val="21"/>
          <w:szCs w:val="21"/>
        </w:rPr>
      </w:pPr>
      <w:r w:rsidRPr="002265E0">
        <w:rPr>
          <w:rFonts w:ascii="宋体" w:hAnsi="宋体" w:hint="eastAsia"/>
          <w:sz w:val="21"/>
          <w:szCs w:val="21"/>
        </w:rPr>
        <w:t>6．</w:t>
      </w:r>
      <w:r w:rsidR="00C976E3">
        <w:rPr>
          <w:rFonts w:ascii="宋体" w:hAnsi="宋体" w:hint="eastAsia"/>
          <w:sz w:val="21"/>
          <w:szCs w:val="21"/>
        </w:rPr>
        <w:t>试对帕利普分析体系进行</w:t>
      </w:r>
      <w:r w:rsidR="00C976E3">
        <w:rPr>
          <w:rFonts w:ascii="宋体" w:hAnsi="宋体"/>
          <w:sz w:val="21"/>
          <w:szCs w:val="21"/>
        </w:rPr>
        <w:t>评价。</w:t>
      </w:r>
    </w:p>
    <w:p w:rsidR="008A512B" w:rsidRDefault="00305A25" w:rsidP="00A55A44">
      <w:pPr>
        <w:spacing w:line="300" w:lineRule="auto"/>
        <w:ind w:firstLine="435"/>
      </w:pPr>
      <w:r>
        <w:rPr>
          <w:rFonts w:hint="eastAsia"/>
        </w:rPr>
        <w:t>帕利普</w:t>
      </w:r>
      <w:r>
        <w:t>财务综合分析体系是对杜邦</w:t>
      </w:r>
      <w:r>
        <w:rPr>
          <w:rFonts w:hint="eastAsia"/>
        </w:rPr>
        <w:t>财务</w:t>
      </w:r>
      <w:r>
        <w:t>分析体系的变形和补充</w:t>
      </w:r>
      <w:r>
        <w:rPr>
          <w:rFonts w:hint="eastAsia"/>
        </w:rPr>
        <w:t>，使其</w:t>
      </w:r>
      <w:r>
        <w:t>不断完善与发展。</w:t>
      </w:r>
      <w:r>
        <w:rPr>
          <w:rFonts w:hint="eastAsia"/>
        </w:rPr>
        <w:t>它</w:t>
      </w:r>
      <w:r>
        <w:t>继承了杜邦财务</w:t>
      </w:r>
      <w:r>
        <w:rPr>
          <w:rFonts w:hint="eastAsia"/>
        </w:rPr>
        <w:t>综合</w:t>
      </w:r>
      <w:r>
        <w:t>分析的优点</w:t>
      </w:r>
      <w:r>
        <w:rPr>
          <w:rFonts w:hint="eastAsia"/>
        </w:rPr>
        <w:t>。</w:t>
      </w:r>
      <w:r>
        <w:t>一是</w:t>
      </w:r>
      <w:r>
        <w:rPr>
          <w:rFonts w:hint="eastAsia"/>
        </w:rPr>
        <w:t>可以</w:t>
      </w:r>
      <w:r>
        <w:t>明确企业盈利能力、营运能力、偿债能力</w:t>
      </w:r>
      <w:r>
        <w:rPr>
          <w:rFonts w:hint="eastAsia"/>
        </w:rPr>
        <w:t>与</w:t>
      </w:r>
      <w:r>
        <w:t>发展能力之间的相互联系，</w:t>
      </w:r>
      <w:r w:rsidR="00ED71C9">
        <w:rPr>
          <w:rFonts w:hint="eastAsia"/>
        </w:rPr>
        <w:t>分析</w:t>
      </w:r>
      <w:r w:rsidR="00ED71C9">
        <w:t>企业财务总体状况和业绩的关联性水平</w:t>
      </w:r>
      <w:r w:rsidR="00ED71C9">
        <w:rPr>
          <w:rFonts w:hint="eastAsia"/>
        </w:rPr>
        <w:t>。</w:t>
      </w:r>
      <w:r w:rsidR="00ED71C9">
        <w:t>二是</w:t>
      </w:r>
      <w:r w:rsidR="00ED71C9">
        <w:rPr>
          <w:rFonts w:hint="eastAsia"/>
        </w:rPr>
        <w:t>为</w:t>
      </w:r>
      <w:r w:rsidR="00ED71C9">
        <w:t>进行</w:t>
      </w:r>
      <w:r w:rsidR="00ED71C9">
        <w:rPr>
          <w:rFonts w:hint="eastAsia"/>
        </w:rPr>
        <w:t>财务</w:t>
      </w:r>
      <w:r w:rsidR="00ED71C9">
        <w:t>综合评价提供基础，有利于进行纵向及横向比较。它</w:t>
      </w:r>
      <w:r w:rsidR="00ED71C9">
        <w:rPr>
          <w:rFonts w:hint="eastAsia"/>
        </w:rPr>
        <w:t>把</w:t>
      </w:r>
      <w:r w:rsidR="00ED71C9">
        <w:t>企业各个重要指标联系起来，</w:t>
      </w:r>
      <w:r w:rsidR="00ED71C9">
        <w:rPr>
          <w:rFonts w:hint="eastAsia"/>
        </w:rPr>
        <w:t>考察</w:t>
      </w:r>
      <w:r w:rsidR="00ED71C9">
        <w:t>每个重要指标的影响因素，从而便于因素分析法在综合评价时的运用。</w:t>
      </w:r>
    </w:p>
    <w:p w:rsidR="00ED71C9" w:rsidRDefault="00ED71C9" w:rsidP="00A55A44">
      <w:pPr>
        <w:spacing w:line="300" w:lineRule="auto"/>
        <w:ind w:firstLine="435"/>
      </w:pPr>
      <w:r>
        <w:rPr>
          <w:rFonts w:hint="eastAsia"/>
        </w:rPr>
        <w:t>企业</w:t>
      </w:r>
      <w:r>
        <w:t>可持续发展能力是企业长期存在的一个基本条件，也是越来越多的所有者和相关利益人所关注的一种能力。帕利普</w:t>
      </w:r>
      <w:r>
        <w:rPr>
          <w:rFonts w:hint="eastAsia"/>
        </w:rPr>
        <w:t>财务</w:t>
      </w:r>
      <w:r>
        <w:t>综合分析体系就是围绕这一能力展开，</w:t>
      </w:r>
      <w:r w:rsidR="00E573CD">
        <w:rPr>
          <w:rFonts w:hint="eastAsia"/>
        </w:rPr>
        <w:t>层层</w:t>
      </w:r>
      <w:r w:rsidR="00E573CD">
        <w:t>分析影响这一综合能力的各种因素，便于企业和决策者评价其可持续发展</w:t>
      </w:r>
      <w:r w:rsidR="00E573CD">
        <w:rPr>
          <w:rFonts w:hint="eastAsia"/>
        </w:rPr>
        <w:t>能力</w:t>
      </w:r>
      <w:r w:rsidR="00E573CD">
        <w:t>。</w:t>
      </w:r>
    </w:p>
    <w:p w:rsidR="00E573CD" w:rsidRPr="001A0C5A" w:rsidRDefault="00E573CD" w:rsidP="00A55A44">
      <w:pPr>
        <w:spacing w:line="300" w:lineRule="auto"/>
        <w:ind w:firstLine="435"/>
      </w:pPr>
      <w:r>
        <w:rPr>
          <w:rFonts w:hint="eastAsia"/>
        </w:rPr>
        <w:t>帕利普</w:t>
      </w:r>
      <w:r>
        <w:t>财务综合分析</w:t>
      </w:r>
      <w:r w:rsidR="0004085F">
        <w:rPr>
          <w:rFonts w:hint="eastAsia"/>
        </w:rPr>
        <w:t>体</w:t>
      </w:r>
      <w:bookmarkStart w:id="1" w:name="_GoBack"/>
      <w:bookmarkEnd w:id="1"/>
      <w:r w:rsidR="0004085F">
        <w:rPr>
          <w:rFonts w:hint="eastAsia"/>
        </w:rPr>
        <w:t>系</w:t>
      </w:r>
      <w:r w:rsidR="0004085F">
        <w:t>中，考虑了股利支付率对可持续增长比率的影响，</w:t>
      </w:r>
      <w:r w:rsidR="0004085F">
        <w:rPr>
          <w:rFonts w:hint="eastAsia"/>
        </w:rPr>
        <w:t>这是</w:t>
      </w:r>
      <w:r w:rsidR="0004085F">
        <w:t>原有杜邦分析体系中未曾考虑过的因素。一家</w:t>
      </w:r>
      <w:r w:rsidR="0004085F">
        <w:rPr>
          <w:rFonts w:hint="eastAsia"/>
        </w:rPr>
        <w:t>上市</w:t>
      </w:r>
      <w:r w:rsidR="0004085F">
        <w:t>公司，在</w:t>
      </w:r>
      <w:r w:rsidR="0004085F">
        <w:rPr>
          <w:rFonts w:hint="eastAsia"/>
        </w:rPr>
        <w:t>当期</w:t>
      </w:r>
      <w:r w:rsidR="0004085F">
        <w:t>盈利的情况下，</w:t>
      </w:r>
      <w:r w:rsidR="0004085F">
        <w:rPr>
          <w:rFonts w:hint="eastAsia"/>
        </w:rPr>
        <w:t>会</w:t>
      </w:r>
      <w:r w:rsidR="0004085F">
        <w:t>面临股利分配方案的选择</w:t>
      </w:r>
      <w:r w:rsidR="0004085F">
        <w:rPr>
          <w:rFonts w:hint="eastAsia"/>
        </w:rPr>
        <w:t>。</w:t>
      </w:r>
      <w:r w:rsidR="0004085F">
        <w:t>不</w:t>
      </w:r>
      <w:r w:rsidR="0004085F">
        <w:rPr>
          <w:rFonts w:hint="eastAsia"/>
        </w:rPr>
        <w:t>支付</w:t>
      </w:r>
      <w:r w:rsidR="0004085F">
        <w:t>股利会引起所有者的不满，可能会增加再次利用股票融资的难度</w:t>
      </w:r>
      <w:r w:rsidR="0004085F">
        <w:rPr>
          <w:rFonts w:hint="eastAsia"/>
        </w:rPr>
        <w:t>；</w:t>
      </w:r>
      <w:r w:rsidR="0004085F">
        <w:t>而发放股利，又会影响企业利用自由资金</w:t>
      </w:r>
      <w:r w:rsidR="0004085F">
        <w:rPr>
          <w:rFonts w:hint="eastAsia"/>
        </w:rPr>
        <w:t>进一步</w:t>
      </w:r>
      <w:r w:rsidR="0004085F">
        <w:t>发展的能力，不利于投资决策的实行。因此</w:t>
      </w:r>
      <w:r w:rsidR="0004085F">
        <w:rPr>
          <w:rFonts w:hint="eastAsia"/>
        </w:rPr>
        <w:t>，</w:t>
      </w:r>
      <w:r w:rsidR="0004085F">
        <w:t>分析股利支付率对可持续增长比率的影响，有利于在综合评价中进一步评价股东权益的实现能力，并为股利分配政策提供理论依据。</w:t>
      </w:r>
    </w:p>
    <w:sectPr w:rsidR="00E573CD" w:rsidRPr="001A0C5A" w:rsidSect="00765CEE">
      <w:footerReference w:type="even" r:id="rId6"/>
      <w:footerReference w:type="default" r:id="rId7"/>
      <w:footnotePr>
        <w:numFmt w:val="decimalEnclosedCircl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B93" w:rsidRDefault="009A2B93" w:rsidP="00BF439C">
      <w:r>
        <w:separator/>
      </w:r>
    </w:p>
  </w:endnote>
  <w:endnote w:type="continuationSeparator" w:id="0">
    <w:p w:rsidR="009A2B93" w:rsidRDefault="009A2B93" w:rsidP="00BF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37F" w:rsidRDefault="00765CEE" w:rsidP="00383D69">
    <w:pPr>
      <w:pStyle w:val="a3"/>
      <w:framePr w:wrap="around" w:vAnchor="text" w:hAnchor="margin" w:xAlign="center" w:y="1"/>
      <w:rPr>
        <w:rStyle w:val="a4"/>
      </w:rPr>
    </w:pPr>
    <w:r>
      <w:rPr>
        <w:rStyle w:val="a4"/>
      </w:rPr>
      <w:fldChar w:fldCharType="begin"/>
    </w:r>
    <w:r w:rsidR="00AF1A74">
      <w:rPr>
        <w:rStyle w:val="a4"/>
      </w:rPr>
      <w:instrText xml:space="preserve">PAGE  </w:instrText>
    </w:r>
    <w:r>
      <w:rPr>
        <w:rStyle w:val="a4"/>
      </w:rPr>
      <w:fldChar w:fldCharType="end"/>
    </w:r>
  </w:p>
  <w:p w:rsidR="0031337F" w:rsidRDefault="009A2B9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37F" w:rsidRDefault="00765CEE" w:rsidP="00383D69">
    <w:pPr>
      <w:pStyle w:val="a3"/>
      <w:framePr w:wrap="around" w:vAnchor="text" w:hAnchor="margin" w:xAlign="center" w:y="1"/>
      <w:rPr>
        <w:rStyle w:val="a4"/>
      </w:rPr>
    </w:pPr>
    <w:r>
      <w:rPr>
        <w:rStyle w:val="a4"/>
      </w:rPr>
      <w:fldChar w:fldCharType="begin"/>
    </w:r>
    <w:r w:rsidR="00AF1A74">
      <w:rPr>
        <w:rStyle w:val="a4"/>
      </w:rPr>
      <w:instrText xml:space="preserve">PAGE  </w:instrText>
    </w:r>
    <w:r>
      <w:rPr>
        <w:rStyle w:val="a4"/>
      </w:rPr>
      <w:fldChar w:fldCharType="separate"/>
    </w:r>
    <w:r w:rsidR="00C976E3">
      <w:rPr>
        <w:rStyle w:val="a4"/>
        <w:noProof/>
      </w:rPr>
      <w:t>1</w:t>
    </w:r>
    <w:r>
      <w:rPr>
        <w:rStyle w:val="a4"/>
      </w:rPr>
      <w:fldChar w:fldCharType="end"/>
    </w:r>
  </w:p>
  <w:p w:rsidR="0031337F" w:rsidRDefault="009A2B9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B93" w:rsidRDefault="009A2B93" w:rsidP="00BF439C">
      <w:r>
        <w:separator/>
      </w:r>
    </w:p>
  </w:footnote>
  <w:footnote w:type="continuationSeparator" w:id="0">
    <w:p w:rsidR="009A2B93" w:rsidRDefault="009A2B93" w:rsidP="00BF43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Fmt w:val="decimalEnclosedCircl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A0C5A"/>
    <w:rsid w:val="0004085F"/>
    <w:rsid w:val="001A0C5A"/>
    <w:rsid w:val="0020457A"/>
    <w:rsid w:val="00305A25"/>
    <w:rsid w:val="00344ED1"/>
    <w:rsid w:val="003C1EDD"/>
    <w:rsid w:val="00757BB4"/>
    <w:rsid w:val="00765CEE"/>
    <w:rsid w:val="007D45B8"/>
    <w:rsid w:val="008A512B"/>
    <w:rsid w:val="009730F2"/>
    <w:rsid w:val="009A2B93"/>
    <w:rsid w:val="00A344C3"/>
    <w:rsid w:val="00A55A44"/>
    <w:rsid w:val="00A906D2"/>
    <w:rsid w:val="00AF1A74"/>
    <w:rsid w:val="00BF01BA"/>
    <w:rsid w:val="00BF439C"/>
    <w:rsid w:val="00C00B2E"/>
    <w:rsid w:val="00C976E3"/>
    <w:rsid w:val="00CA67FE"/>
    <w:rsid w:val="00E573CD"/>
    <w:rsid w:val="00ED71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4BF674A-B3C4-4C14-B37B-39124D6ED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C5A"/>
    <w:pPr>
      <w:widowControl w:val="0"/>
      <w:jc w:val="both"/>
    </w:pPr>
    <w:rPr>
      <w:rFonts w:ascii="Times New Roman" w:eastAsia="宋体" w:hAnsi="Times New Roman" w:cs="Times New Roman"/>
      <w:szCs w:val="24"/>
    </w:rPr>
  </w:style>
  <w:style w:type="paragraph" w:styleId="1">
    <w:name w:val="heading 1"/>
    <w:aliases w:val="topsage"/>
    <w:basedOn w:val="a"/>
    <w:next w:val="a"/>
    <w:link w:val="1Char"/>
    <w:qFormat/>
    <w:rsid w:val="001A0C5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1A0C5A"/>
    <w:pPr>
      <w:keepNext/>
      <w:keepLines/>
      <w:spacing w:before="260" w:after="260" w:line="416" w:lineRule="auto"/>
      <w:outlineLvl w:val="1"/>
    </w:pPr>
    <w:rPr>
      <w:rFonts w:ascii="Arial" w:eastAsia="黑体" w:hAnsi="Arial"/>
      <w:b/>
      <w:bCs/>
      <w:sz w:val="32"/>
      <w:szCs w:val="32"/>
    </w:rPr>
  </w:style>
  <w:style w:type="paragraph" w:styleId="3">
    <w:name w:val="heading 3"/>
    <w:aliases w:val="大家网,topsage.com"/>
    <w:basedOn w:val="a"/>
    <w:next w:val="a"/>
    <w:link w:val="3Char"/>
    <w:qFormat/>
    <w:rsid w:val="001A0C5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opsage Char"/>
    <w:basedOn w:val="a0"/>
    <w:link w:val="1"/>
    <w:rsid w:val="001A0C5A"/>
    <w:rPr>
      <w:rFonts w:ascii="Times New Roman" w:eastAsia="宋体" w:hAnsi="Times New Roman" w:cs="Times New Roman"/>
      <w:b/>
      <w:bCs/>
      <w:kern w:val="44"/>
      <w:sz w:val="44"/>
      <w:szCs w:val="44"/>
    </w:rPr>
  </w:style>
  <w:style w:type="character" w:customStyle="1" w:styleId="2Char">
    <w:name w:val="标题 2 Char"/>
    <w:basedOn w:val="a0"/>
    <w:link w:val="2"/>
    <w:rsid w:val="001A0C5A"/>
    <w:rPr>
      <w:rFonts w:ascii="Arial" w:eastAsia="黑体" w:hAnsi="Arial" w:cs="Times New Roman"/>
      <w:b/>
      <w:bCs/>
      <w:sz w:val="32"/>
      <w:szCs w:val="32"/>
    </w:rPr>
  </w:style>
  <w:style w:type="character" w:customStyle="1" w:styleId="3Char">
    <w:name w:val="标题 3 Char"/>
    <w:aliases w:val="大家网 Char,topsage.com Char"/>
    <w:basedOn w:val="a0"/>
    <w:link w:val="3"/>
    <w:rsid w:val="001A0C5A"/>
    <w:rPr>
      <w:rFonts w:ascii="Times New Roman" w:eastAsia="宋体" w:hAnsi="Times New Roman" w:cs="Times New Roman"/>
      <w:b/>
      <w:bCs/>
      <w:sz w:val="32"/>
      <w:szCs w:val="32"/>
    </w:rPr>
  </w:style>
  <w:style w:type="paragraph" w:styleId="a3">
    <w:name w:val="footer"/>
    <w:basedOn w:val="a"/>
    <w:link w:val="Char"/>
    <w:rsid w:val="001A0C5A"/>
    <w:pPr>
      <w:tabs>
        <w:tab w:val="center" w:pos="4153"/>
        <w:tab w:val="right" w:pos="8306"/>
      </w:tabs>
      <w:snapToGrid w:val="0"/>
      <w:jc w:val="left"/>
    </w:pPr>
    <w:rPr>
      <w:sz w:val="18"/>
      <w:szCs w:val="18"/>
    </w:rPr>
  </w:style>
  <w:style w:type="character" w:customStyle="1" w:styleId="Char">
    <w:name w:val="页脚 Char"/>
    <w:basedOn w:val="a0"/>
    <w:link w:val="a3"/>
    <w:rsid w:val="001A0C5A"/>
    <w:rPr>
      <w:rFonts w:ascii="Times New Roman" w:eastAsia="宋体" w:hAnsi="Times New Roman" w:cs="Times New Roman"/>
      <w:sz w:val="18"/>
      <w:szCs w:val="18"/>
    </w:rPr>
  </w:style>
  <w:style w:type="character" w:styleId="a4">
    <w:name w:val="page number"/>
    <w:basedOn w:val="a0"/>
    <w:rsid w:val="001A0C5A"/>
  </w:style>
  <w:style w:type="paragraph" w:styleId="a5">
    <w:name w:val="header"/>
    <w:basedOn w:val="a"/>
    <w:link w:val="Char0"/>
    <w:uiPriority w:val="99"/>
    <w:unhideWhenUsed/>
    <w:rsid w:val="00BF439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F439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665">
      <w:bodyDiv w:val="1"/>
      <w:marLeft w:val="0"/>
      <w:marRight w:val="0"/>
      <w:marTop w:val="0"/>
      <w:marBottom w:val="0"/>
      <w:divBdr>
        <w:top w:val="none" w:sz="0" w:space="0" w:color="auto"/>
        <w:left w:val="none" w:sz="0" w:space="0" w:color="auto"/>
        <w:bottom w:val="none" w:sz="0" w:space="0" w:color="auto"/>
        <w:right w:val="none" w:sz="0" w:space="0" w:color="auto"/>
      </w:divBdr>
    </w:div>
    <w:div w:id="102381832">
      <w:bodyDiv w:val="1"/>
      <w:marLeft w:val="0"/>
      <w:marRight w:val="0"/>
      <w:marTop w:val="0"/>
      <w:marBottom w:val="0"/>
      <w:divBdr>
        <w:top w:val="none" w:sz="0" w:space="0" w:color="auto"/>
        <w:left w:val="none" w:sz="0" w:space="0" w:color="auto"/>
        <w:bottom w:val="none" w:sz="0" w:space="0" w:color="auto"/>
        <w:right w:val="none" w:sz="0" w:space="0" w:color="auto"/>
      </w:divBdr>
    </w:div>
    <w:div w:id="235868055">
      <w:bodyDiv w:val="1"/>
      <w:marLeft w:val="0"/>
      <w:marRight w:val="0"/>
      <w:marTop w:val="0"/>
      <w:marBottom w:val="0"/>
      <w:divBdr>
        <w:top w:val="none" w:sz="0" w:space="0" w:color="auto"/>
        <w:left w:val="none" w:sz="0" w:space="0" w:color="auto"/>
        <w:bottom w:val="none" w:sz="0" w:space="0" w:color="auto"/>
        <w:right w:val="none" w:sz="0" w:space="0" w:color="auto"/>
      </w:divBdr>
    </w:div>
    <w:div w:id="896476362">
      <w:bodyDiv w:val="1"/>
      <w:marLeft w:val="0"/>
      <w:marRight w:val="0"/>
      <w:marTop w:val="0"/>
      <w:marBottom w:val="0"/>
      <w:divBdr>
        <w:top w:val="none" w:sz="0" w:space="0" w:color="auto"/>
        <w:left w:val="none" w:sz="0" w:space="0" w:color="auto"/>
        <w:bottom w:val="none" w:sz="0" w:space="0" w:color="auto"/>
        <w:right w:val="none" w:sz="0" w:space="0" w:color="auto"/>
      </w:divBdr>
    </w:div>
    <w:div w:id="985545613">
      <w:bodyDiv w:val="1"/>
      <w:marLeft w:val="0"/>
      <w:marRight w:val="0"/>
      <w:marTop w:val="0"/>
      <w:marBottom w:val="0"/>
      <w:divBdr>
        <w:top w:val="none" w:sz="0" w:space="0" w:color="auto"/>
        <w:left w:val="none" w:sz="0" w:space="0" w:color="auto"/>
        <w:bottom w:val="none" w:sz="0" w:space="0" w:color="auto"/>
        <w:right w:val="none" w:sz="0" w:space="0" w:color="auto"/>
      </w:divBdr>
    </w:div>
    <w:div w:id="1037007800">
      <w:bodyDiv w:val="1"/>
      <w:marLeft w:val="0"/>
      <w:marRight w:val="0"/>
      <w:marTop w:val="0"/>
      <w:marBottom w:val="0"/>
      <w:divBdr>
        <w:top w:val="none" w:sz="0" w:space="0" w:color="auto"/>
        <w:left w:val="none" w:sz="0" w:space="0" w:color="auto"/>
        <w:bottom w:val="none" w:sz="0" w:space="0" w:color="auto"/>
        <w:right w:val="none" w:sz="0" w:space="0" w:color="auto"/>
      </w:divBdr>
    </w:div>
    <w:div w:id="1193807391">
      <w:bodyDiv w:val="1"/>
      <w:marLeft w:val="0"/>
      <w:marRight w:val="0"/>
      <w:marTop w:val="0"/>
      <w:marBottom w:val="0"/>
      <w:divBdr>
        <w:top w:val="none" w:sz="0" w:space="0" w:color="auto"/>
        <w:left w:val="none" w:sz="0" w:space="0" w:color="auto"/>
        <w:bottom w:val="none" w:sz="0" w:space="0" w:color="auto"/>
        <w:right w:val="none" w:sz="0" w:space="0" w:color="auto"/>
      </w:divBdr>
    </w:div>
    <w:div w:id="1432970910">
      <w:bodyDiv w:val="1"/>
      <w:marLeft w:val="0"/>
      <w:marRight w:val="0"/>
      <w:marTop w:val="0"/>
      <w:marBottom w:val="0"/>
      <w:divBdr>
        <w:top w:val="none" w:sz="0" w:space="0" w:color="auto"/>
        <w:left w:val="none" w:sz="0" w:space="0" w:color="auto"/>
        <w:bottom w:val="none" w:sz="0" w:space="0" w:color="auto"/>
        <w:right w:val="none" w:sz="0" w:space="0" w:color="auto"/>
      </w:divBdr>
    </w:div>
    <w:div w:id="1806314457">
      <w:bodyDiv w:val="1"/>
      <w:marLeft w:val="0"/>
      <w:marRight w:val="0"/>
      <w:marTop w:val="0"/>
      <w:marBottom w:val="0"/>
      <w:divBdr>
        <w:top w:val="none" w:sz="0" w:space="0" w:color="auto"/>
        <w:left w:val="none" w:sz="0" w:space="0" w:color="auto"/>
        <w:bottom w:val="none" w:sz="0" w:space="0" w:color="auto"/>
        <w:right w:val="none" w:sz="0" w:space="0" w:color="auto"/>
      </w:divBdr>
    </w:div>
    <w:div w:id="1875003097">
      <w:bodyDiv w:val="1"/>
      <w:marLeft w:val="0"/>
      <w:marRight w:val="0"/>
      <w:marTop w:val="0"/>
      <w:marBottom w:val="0"/>
      <w:divBdr>
        <w:top w:val="none" w:sz="0" w:space="0" w:color="auto"/>
        <w:left w:val="none" w:sz="0" w:space="0" w:color="auto"/>
        <w:bottom w:val="none" w:sz="0" w:space="0" w:color="auto"/>
        <w:right w:val="none" w:sz="0" w:space="0" w:color="auto"/>
      </w:divBdr>
    </w:div>
    <w:div w:id="190174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460</Words>
  <Characters>2622</Characters>
  <Application>Microsoft Office Word</Application>
  <DocSecurity>0</DocSecurity>
  <Lines>21</Lines>
  <Paragraphs>6</Paragraphs>
  <ScaleCrop>false</ScaleCrop>
  <Company>微软中国</Company>
  <LinksUpToDate>false</LinksUpToDate>
  <CharactersWithSpaces>3076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zhh</cp:lastModifiedBy>
  <cp:revision>10</cp:revision>
  <dcterms:created xsi:type="dcterms:W3CDTF">2015-12-28T13:53:00Z</dcterms:created>
  <dcterms:modified xsi:type="dcterms:W3CDTF">2016-06-20T05:32:00Z</dcterms:modified>
</cp:coreProperties>
</file>